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AD" w:rsidRDefault="00F00CAD" w:rsidP="00F00CAD">
      <w:pPr>
        <w:widowControl/>
        <w:jc w:val="left"/>
        <w:rPr>
          <w:rFonts w:ascii="游ゴシック" w:eastAsia="DengXian" w:hAnsi="游ゴシック"/>
          <w:color w:val="56A9CB"/>
          <w:sz w:val="30"/>
          <w:szCs w:val="30"/>
          <w:lang w:eastAsia="zh-CN"/>
        </w:rPr>
      </w:pPr>
      <w:r w:rsidRPr="00E36816">
        <w:rPr>
          <w:rFonts w:ascii="游ゴシック" w:eastAsia="游ゴシック" w:hAnsi="游ゴシック" w:hint="eastAsia"/>
          <w:color w:val="56A9CB"/>
          <w:sz w:val="30"/>
          <w:szCs w:val="30"/>
          <w:lang w:eastAsia="zh-CN"/>
        </w:rPr>
        <w:t>日本医科大学医学部海外留学奨学金</w:t>
      </w:r>
    </w:p>
    <w:p w:rsidR="00F00CAD" w:rsidRPr="00E36816" w:rsidRDefault="00F00CAD" w:rsidP="00F00CAD">
      <w:pPr>
        <w:widowControl/>
        <w:snapToGrid w:val="0"/>
        <w:jc w:val="left"/>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目的</w:t>
      </w:r>
    </w:p>
    <w:p w:rsidR="00F00CAD" w:rsidRPr="00A7149F" w:rsidRDefault="00F00CAD" w:rsidP="00F00CAD">
      <w:pPr>
        <w:pStyle w:val="Web"/>
        <w:snapToGrid w:val="0"/>
        <w:spacing w:before="0" w:beforeAutospacing="0" w:after="0" w:afterAutospacing="0"/>
        <w:rPr>
          <w:rFonts w:ascii="游ゴシック" w:eastAsia="游ゴシック" w:hAnsi="游ゴシック"/>
          <w:color w:val="333333"/>
          <w:sz w:val="21"/>
        </w:rPr>
      </w:pPr>
      <w:r w:rsidRPr="00A7149F">
        <w:rPr>
          <w:rFonts w:ascii="游ゴシック" w:eastAsia="游ゴシック" w:hAnsi="游ゴシック" w:hint="eastAsia"/>
          <w:color w:val="333333"/>
          <w:sz w:val="21"/>
        </w:rPr>
        <w:t>医学研究及び臨床実習のために海外留学を行う日本医科大学医学部学生に対して</w:t>
      </w:r>
      <w:r>
        <w:rPr>
          <w:rFonts w:ascii="游ゴシック" w:eastAsia="游ゴシック" w:hAnsi="游ゴシック" w:hint="eastAsia"/>
          <w:color w:val="333333"/>
          <w:sz w:val="21"/>
        </w:rPr>
        <w:t>、学校法人日本医科大学が</w:t>
      </w:r>
      <w:r w:rsidRPr="00A7149F">
        <w:rPr>
          <w:rFonts w:ascii="游ゴシック" w:eastAsia="游ゴシック" w:hAnsi="游ゴシック" w:hint="eastAsia"/>
          <w:color w:val="333333"/>
          <w:sz w:val="21"/>
        </w:rPr>
        <w:t>経済的支援を</w:t>
      </w:r>
      <w:r>
        <w:rPr>
          <w:rFonts w:ascii="游ゴシック" w:eastAsia="游ゴシック" w:hAnsi="游ゴシック" w:hint="eastAsia"/>
          <w:color w:val="333333"/>
          <w:sz w:val="21"/>
        </w:rPr>
        <w:t>行う</w:t>
      </w:r>
      <w:r w:rsidRPr="00A7149F">
        <w:rPr>
          <w:rFonts w:ascii="游ゴシック" w:eastAsia="游ゴシック" w:hAnsi="游ゴシック" w:hint="eastAsia"/>
          <w:color w:val="333333"/>
          <w:sz w:val="21"/>
        </w:rPr>
        <w:t>。</w:t>
      </w:r>
    </w:p>
    <w:p w:rsidR="00F00CAD" w:rsidRPr="00DC4880" w:rsidRDefault="00F00CAD" w:rsidP="00F00CAD">
      <w:pPr>
        <w:pStyle w:val="Web"/>
        <w:snapToGrid w:val="0"/>
        <w:spacing w:before="0" w:beforeAutospacing="0" w:after="0" w:afterAutospacing="0"/>
        <w:rPr>
          <w:rFonts w:ascii="游ゴシック" w:eastAsia="游ゴシック" w:hAnsi="游ゴシック"/>
          <w:b/>
          <w:strike/>
          <w:color w:val="56A9CB"/>
          <w:sz w:val="27"/>
          <w:szCs w:val="27"/>
        </w:rPr>
      </w:pPr>
      <w:r w:rsidRPr="00DC4880">
        <w:rPr>
          <w:rFonts w:ascii="游ゴシック" w:eastAsia="游ゴシック" w:hAnsi="游ゴシック" w:hint="eastAsia"/>
          <w:b/>
          <w:color w:val="56A9CB"/>
          <w:sz w:val="27"/>
          <w:szCs w:val="27"/>
        </w:rPr>
        <w:t>応募資格</w:t>
      </w:r>
    </w:p>
    <w:p w:rsidR="00F00CAD" w:rsidRDefault="00F00CAD" w:rsidP="00F00CAD">
      <w:r>
        <w:rPr>
          <w:rFonts w:hint="eastAsia"/>
        </w:rPr>
        <w:t>（1）日本医科大学長が許可した研究留学又は臨床留学を行う学生であること。</w:t>
      </w:r>
    </w:p>
    <w:p w:rsidR="00F00CAD" w:rsidRDefault="00F00CAD" w:rsidP="00F00CAD">
      <w:r>
        <w:rPr>
          <w:rFonts w:hint="eastAsia"/>
        </w:rPr>
        <w:t>（2）留学期間が4週間以上であること。</w:t>
      </w:r>
    </w:p>
    <w:p w:rsidR="00F00CAD" w:rsidRPr="00FB7032" w:rsidRDefault="00F00CAD" w:rsidP="00F00CAD">
      <w:r>
        <w:rPr>
          <w:rFonts w:hint="eastAsia"/>
        </w:rPr>
        <w:t>（3）連帯保証人及び保証人を各1名設定できること。</w:t>
      </w:r>
    </w:p>
    <w:p w:rsidR="00F00CAD" w:rsidRPr="00E36816" w:rsidRDefault="00F00CAD" w:rsidP="00F00CAD">
      <w:pPr>
        <w:widowControl/>
        <w:snapToGrid w:val="0"/>
        <w:jc w:val="left"/>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申請者</w:t>
      </w:r>
    </w:p>
    <w:p w:rsidR="00F00CAD" w:rsidRPr="00A7149F" w:rsidRDefault="00F00CAD" w:rsidP="00F00CAD">
      <w:pPr>
        <w:pStyle w:val="Web"/>
        <w:snapToGrid w:val="0"/>
        <w:spacing w:before="0" w:beforeAutospacing="0" w:after="0" w:afterAutospacing="0"/>
        <w:rPr>
          <w:rFonts w:ascii="游ゴシック" w:eastAsia="游ゴシック" w:hAnsi="游ゴシック"/>
          <w:color w:val="333333"/>
          <w:sz w:val="21"/>
        </w:rPr>
      </w:pPr>
      <w:r w:rsidRPr="00A7149F">
        <w:rPr>
          <w:rFonts w:ascii="游ゴシック" w:eastAsia="游ゴシック" w:hAnsi="游ゴシック" w:hint="eastAsia"/>
          <w:color w:val="333333"/>
          <w:sz w:val="21"/>
        </w:rPr>
        <w:t>日本医科大学が認可した研究留学及び臨床実習を行う学生10名以内。</w:t>
      </w:r>
    </w:p>
    <w:p w:rsidR="00F00CAD" w:rsidRPr="00E36816" w:rsidRDefault="00F00CAD" w:rsidP="00F00CAD">
      <w:pPr>
        <w:pStyle w:val="Web"/>
        <w:snapToGrid w:val="0"/>
        <w:spacing w:before="0" w:beforeAutospacing="0" w:after="0" w:afterAutospacing="0"/>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貸与額</w:t>
      </w:r>
    </w:p>
    <w:p w:rsidR="00F00CAD" w:rsidRPr="00A7149F" w:rsidRDefault="00F00CAD" w:rsidP="00F00CAD">
      <w:pPr>
        <w:pStyle w:val="Web"/>
        <w:snapToGrid w:val="0"/>
        <w:spacing w:before="0" w:beforeAutospacing="0" w:after="0" w:afterAutospacing="0"/>
        <w:rPr>
          <w:rFonts w:ascii="游ゴシック" w:eastAsia="游ゴシック" w:hAnsi="游ゴシック"/>
          <w:color w:val="333333"/>
          <w:sz w:val="21"/>
        </w:rPr>
      </w:pPr>
      <w:r w:rsidRPr="00A7149F">
        <w:rPr>
          <w:rFonts w:ascii="游ゴシック" w:eastAsia="游ゴシック" w:hAnsi="游ゴシック" w:hint="eastAsia"/>
          <w:color w:val="333333"/>
          <w:sz w:val="21"/>
        </w:rPr>
        <w:t>1人につき50万円を限度とする。貸与した奨学金は無利子とする。</w:t>
      </w:r>
    </w:p>
    <w:p w:rsidR="00F00CAD" w:rsidRPr="00E36816" w:rsidRDefault="00F00CAD" w:rsidP="00F00CAD">
      <w:pPr>
        <w:pStyle w:val="Web"/>
        <w:snapToGrid w:val="0"/>
        <w:spacing w:before="0" w:beforeAutospacing="0" w:after="0" w:afterAutospacing="0"/>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申請方法</w:t>
      </w:r>
    </w:p>
    <w:p w:rsidR="00F00CAD" w:rsidRPr="00537451" w:rsidRDefault="00F00CAD" w:rsidP="00F00CAD">
      <w:pPr>
        <w:pStyle w:val="Web"/>
        <w:snapToGrid w:val="0"/>
        <w:spacing w:before="0" w:beforeAutospacing="0" w:after="0" w:afterAutospacing="0"/>
        <w:rPr>
          <w:rFonts w:ascii="游ゴシック" w:eastAsia="游ゴシック" w:hAnsi="游ゴシック" w:hint="eastAsia"/>
          <w:color w:val="333333"/>
          <w:sz w:val="21"/>
        </w:rPr>
      </w:pPr>
      <w:r w:rsidRPr="00A7149F">
        <w:rPr>
          <w:rFonts w:ascii="游ゴシック" w:eastAsia="游ゴシック" w:hAnsi="游ゴシック" w:hint="eastAsia"/>
          <w:color w:val="333333"/>
          <w:sz w:val="21"/>
        </w:rPr>
        <w:t>海外留学奨学金貸与申請書に必要事項を記載後、国際交流センターへ提出する。申請は随時受け付ける。</w:t>
      </w:r>
      <w:bookmarkStart w:id="0" w:name="_GoBack"/>
      <w:bookmarkEnd w:id="0"/>
    </w:p>
    <w:p w:rsidR="00F00CAD" w:rsidRPr="00E36816" w:rsidRDefault="00F00CAD" w:rsidP="00F00CAD">
      <w:pPr>
        <w:pStyle w:val="Web"/>
        <w:snapToGrid w:val="0"/>
        <w:spacing w:before="0" w:beforeAutospacing="0" w:after="0" w:afterAutospacing="0"/>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選考方法</w:t>
      </w:r>
    </w:p>
    <w:p w:rsidR="00F00CAD" w:rsidRPr="00A7149F" w:rsidRDefault="00F00CAD" w:rsidP="00F00CAD">
      <w:pPr>
        <w:pStyle w:val="Web"/>
        <w:snapToGrid w:val="0"/>
        <w:spacing w:before="0" w:beforeAutospacing="0" w:after="0" w:afterAutospacing="0"/>
        <w:rPr>
          <w:rFonts w:ascii="游ゴシック" w:eastAsia="游ゴシック" w:hAnsi="游ゴシック"/>
          <w:color w:val="333333"/>
          <w:sz w:val="21"/>
        </w:rPr>
      </w:pPr>
      <w:r>
        <w:rPr>
          <w:rFonts w:ascii="游ゴシック" w:eastAsia="游ゴシック" w:hAnsi="游ゴシック" w:hint="eastAsia"/>
          <w:color w:val="333333"/>
          <w:sz w:val="21"/>
        </w:rPr>
        <w:t>奨学金・助成金</w:t>
      </w:r>
      <w:r w:rsidRPr="00A7149F">
        <w:rPr>
          <w:rFonts w:ascii="游ゴシック" w:eastAsia="游ゴシック" w:hAnsi="游ゴシック" w:hint="eastAsia"/>
          <w:color w:val="333333"/>
          <w:sz w:val="21"/>
        </w:rPr>
        <w:t>小委員会において、書類選考により決定する。</w:t>
      </w:r>
    </w:p>
    <w:p w:rsidR="00F00CAD" w:rsidRPr="00E36816" w:rsidRDefault="00F00CAD" w:rsidP="00F00CAD">
      <w:pPr>
        <w:pStyle w:val="Web"/>
        <w:snapToGrid w:val="0"/>
        <w:spacing w:before="0" w:beforeAutospacing="0" w:after="0" w:afterAutospacing="0"/>
        <w:rPr>
          <w:rFonts w:ascii="游ゴシック" w:eastAsia="游ゴシック" w:hAnsi="游ゴシック"/>
          <w:b/>
          <w:color w:val="333333"/>
        </w:rPr>
      </w:pPr>
      <w:r w:rsidRPr="00E36816">
        <w:rPr>
          <w:rFonts w:ascii="游ゴシック" w:eastAsia="游ゴシック" w:hAnsi="游ゴシック" w:hint="eastAsia"/>
          <w:b/>
          <w:color w:val="56A9CB"/>
          <w:sz w:val="27"/>
          <w:szCs w:val="27"/>
        </w:rPr>
        <w:t>返済方法</w:t>
      </w:r>
    </w:p>
    <w:p w:rsidR="00F00CAD" w:rsidRPr="00A7149F" w:rsidRDefault="00F00CAD" w:rsidP="00F00CAD">
      <w:pPr>
        <w:pStyle w:val="Web"/>
        <w:snapToGrid w:val="0"/>
        <w:spacing w:before="0" w:beforeAutospacing="0" w:after="0" w:afterAutospacing="0"/>
        <w:rPr>
          <w:rFonts w:ascii="游ゴシック" w:eastAsia="游ゴシック" w:hAnsi="游ゴシック"/>
          <w:color w:val="333333"/>
          <w:sz w:val="21"/>
        </w:rPr>
      </w:pPr>
      <w:r w:rsidRPr="00A7149F">
        <w:rPr>
          <w:rFonts w:ascii="游ゴシック" w:eastAsia="游ゴシック" w:hAnsi="游ゴシック" w:hint="eastAsia"/>
          <w:color w:val="333333"/>
          <w:sz w:val="21"/>
        </w:rPr>
        <w:t>貸与された奨学金の返済は、奨学金貸与者の卒業後3年目から5年間の元金均等割賦の方法により行う。</w:t>
      </w:r>
    </w:p>
    <w:p w:rsidR="00F00CAD" w:rsidRPr="00F00CAD" w:rsidRDefault="00F00CAD"/>
    <w:sectPr w:rsidR="00F00CAD" w:rsidRPr="00F00C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AD"/>
    <w:rsid w:val="00537451"/>
    <w:rsid w:val="00F0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3B5F7"/>
  <w15:chartTrackingRefBased/>
  <w15:docId w15:val="{B70C600E-221A-4183-AE9D-1134BDCB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0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dc:creator>
  <cp:keywords/>
  <dc:description/>
  <cp:lastModifiedBy>国際</cp:lastModifiedBy>
  <cp:revision>3</cp:revision>
  <dcterms:created xsi:type="dcterms:W3CDTF">2022-08-08T02:40:00Z</dcterms:created>
  <dcterms:modified xsi:type="dcterms:W3CDTF">2022-08-08T07:15:00Z</dcterms:modified>
</cp:coreProperties>
</file>