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EB" w:rsidRDefault="00D322EB" w:rsidP="00D322EB">
      <w:pPr>
        <w:snapToGrid w:val="0"/>
        <w:rPr>
          <w:rFonts w:ascii="游ゴシック" w:eastAsia="DengXian" w:hAnsi="游ゴシック"/>
          <w:color w:val="56A9CB"/>
          <w:sz w:val="30"/>
          <w:szCs w:val="30"/>
          <w:lang w:eastAsia="zh-CN"/>
        </w:rPr>
      </w:pPr>
      <w:bookmarkStart w:id="0" w:name="_GoBack"/>
      <w:r>
        <w:rPr>
          <w:rFonts w:ascii="游ゴシック" w:eastAsia="游ゴシック" w:hAnsi="游ゴシック" w:hint="eastAsia"/>
          <w:color w:val="56A9CB"/>
          <w:sz w:val="30"/>
          <w:szCs w:val="30"/>
          <w:lang w:eastAsia="zh-CN"/>
        </w:rPr>
        <w:t>日本医科大学医学部学生国際交流助成金</w:t>
      </w:r>
      <w:bookmarkEnd w:id="0"/>
    </w:p>
    <w:p w:rsidR="00D322EB" w:rsidRPr="00E36816" w:rsidRDefault="00D322EB" w:rsidP="00D322EB">
      <w:pPr>
        <w:snapToGrid w:val="0"/>
        <w:rPr>
          <w:rFonts w:ascii="游ゴシック" w:eastAsia="DengXian" w:hAnsi="游ゴシック"/>
          <w:b/>
          <w:color w:val="56A9CB"/>
          <w:sz w:val="30"/>
          <w:szCs w:val="30"/>
        </w:rPr>
      </w:pPr>
      <w:r w:rsidRPr="00E36816">
        <w:rPr>
          <w:rFonts w:ascii="游ゴシック" w:eastAsia="游ゴシック" w:hAnsi="游ゴシック" w:hint="eastAsia"/>
          <w:b/>
          <w:color w:val="56A9CB"/>
          <w:sz w:val="27"/>
          <w:szCs w:val="27"/>
        </w:rPr>
        <w:t>目的</w:t>
      </w:r>
    </w:p>
    <w:p w:rsidR="00D322EB" w:rsidRPr="00A7149F" w:rsidRDefault="00D322EB" w:rsidP="00D322EB">
      <w:pPr>
        <w:pStyle w:val="Web"/>
        <w:snapToGrid w:val="0"/>
        <w:spacing w:before="0" w:beforeAutospacing="0" w:after="0" w:afterAutospacing="0"/>
        <w:rPr>
          <w:rFonts w:ascii="游ゴシック" w:eastAsia="游ゴシック" w:hAnsi="游ゴシック"/>
          <w:color w:val="333333"/>
          <w:sz w:val="21"/>
          <w:szCs w:val="21"/>
        </w:rPr>
      </w:pPr>
      <w:r w:rsidRPr="00A7149F">
        <w:rPr>
          <w:rFonts w:ascii="游ゴシック" w:eastAsia="游ゴシック" w:hAnsi="游ゴシック" w:hint="eastAsia"/>
          <w:color w:val="333333"/>
          <w:sz w:val="21"/>
          <w:szCs w:val="21"/>
        </w:rPr>
        <w:t>国際的視野を持ち、世界で活躍できる医師・医学者を育成することを</w:t>
      </w:r>
      <w:r>
        <w:rPr>
          <w:rFonts w:ascii="游ゴシック" w:eastAsia="游ゴシック" w:hAnsi="游ゴシック" w:hint="eastAsia"/>
          <w:color w:val="333333"/>
          <w:sz w:val="21"/>
          <w:szCs w:val="21"/>
        </w:rPr>
        <w:t>目途</w:t>
      </w:r>
      <w:r w:rsidRPr="00A7149F">
        <w:rPr>
          <w:rFonts w:ascii="游ゴシック" w:eastAsia="游ゴシック" w:hAnsi="游ゴシック" w:hint="eastAsia"/>
          <w:color w:val="333333"/>
          <w:sz w:val="21"/>
          <w:szCs w:val="21"/>
        </w:rPr>
        <w:t>に、</w:t>
      </w:r>
      <w:r>
        <w:rPr>
          <w:rFonts w:ascii="游ゴシック" w:eastAsia="游ゴシック" w:hAnsi="游ゴシック" w:hint="eastAsia"/>
          <w:color w:val="333333"/>
          <w:sz w:val="21"/>
          <w:szCs w:val="21"/>
        </w:rPr>
        <w:t>学校法人日本医科大学が</w:t>
      </w:r>
      <w:r w:rsidRPr="00A7149F">
        <w:rPr>
          <w:rFonts w:ascii="游ゴシック" w:eastAsia="游ゴシック" w:hAnsi="游ゴシック" w:hint="eastAsia"/>
          <w:color w:val="333333"/>
          <w:sz w:val="21"/>
          <w:szCs w:val="21"/>
        </w:rPr>
        <w:t>日本医科大学医学部学生の国際交流活動を支援する。</w:t>
      </w:r>
    </w:p>
    <w:p w:rsidR="00D322EB" w:rsidRPr="00E36816" w:rsidRDefault="00D322EB" w:rsidP="00D322EB">
      <w:pPr>
        <w:pStyle w:val="Web"/>
        <w:snapToGrid w:val="0"/>
        <w:spacing w:before="0" w:beforeAutospacing="0" w:after="0" w:afterAutospacing="0"/>
        <w:rPr>
          <w:rFonts w:ascii="游ゴシック" w:eastAsia="游ゴシック" w:hAnsi="游ゴシック"/>
          <w:b/>
          <w:color w:val="333333"/>
        </w:rPr>
      </w:pPr>
      <w:r w:rsidRPr="00E36816">
        <w:rPr>
          <w:rFonts w:ascii="游ゴシック" w:eastAsia="游ゴシック" w:hAnsi="游ゴシック" w:hint="eastAsia"/>
          <w:b/>
          <w:color w:val="56A9CB"/>
          <w:sz w:val="27"/>
          <w:szCs w:val="27"/>
        </w:rPr>
        <w:t>助成対象</w:t>
      </w:r>
    </w:p>
    <w:p w:rsidR="00D322EB" w:rsidRPr="00A7149F" w:rsidRDefault="00D322EB" w:rsidP="00D322EB">
      <w:pPr>
        <w:widowControl/>
        <w:numPr>
          <w:ilvl w:val="0"/>
          <w:numId w:val="1"/>
        </w:numPr>
        <w:ind w:left="0" w:hanging="240"/>
        <w:jc w:val="left"/>
        <w:rPr>
          <w:rFonts w:ascii="游ゴシック" w:eastAsia="游ゴシック" w:hAnsi="游ゴシック"/>
          <w:color w:val="333333"/>
          <w:szCs w:val="21"/>
        </w:rPr>
      </w:pPr>
      <w:r>
        <w:rPr>
          <w:rFonts w:ascii="游ゴシック" w:eastAsia="游ゴシック" w:hAnsi="游ゴシック" w:hint="eastAsia"/>
          <w:color w:val="333333"/>
          <w:szCs w:val="21"/>
        </w:rPr>
        <w:t>日本医科大学が協定した外国の大学等の</w:t>
      </w:r>
      <w:r w:rsidRPr="00A7149F">
        <w:rPr>
          <w:rFonts w:ascii="游ゴシック" w:eastAsia="游ゴシック" w:hAnsi="游ゴシック" w:hint="eastAsia"/>
          <w:color w:val="333333"/>
          <w:szCs w:val="21"/>
        </w:rPr>
        <w:t>医療機関への</w:t>
      </w:r>
      <w:r>
        <w:rPr>
          <w:rFonts w:ascii="游ゴシック" w:eastAsia="游ゴシック" w:hAnsi="游ゴシック" w:hint="eastAsia"/>
          <w:color w:val="333333"/>
          <w:szCs w:val="21"/>
        </w:rPr>
        <w:t>臨床研修又は研究機関への</w:t>
      </w:r>
      <w:r w:rsidRPr="00A7149F">
        <w:rPr>
          <w:rFonts w:ascii="游ゴシック" w:eastAsia="游ゴシック" w:hAnsi="游ゴシック" w:hint="eastAsia"/>
          <w:color w:val="333333"/>
          <w:szCs w:val="21"/>
        </w:rPr>
        <w:t>医学研究を目的とした短期留学（語学留学、病院見学を除く）</w:t>
      </w:r>
    </w:p>
    <w:p w:rsidR="00D322EB" w:rsidRDefault="00D322EB" w:rsidP="00D322EB">
      <w:pPr>
        <w:widowControl/>
        <w:numPr>
          <w:ilvl w:val="0"/>
          <w:numId w:val="1"/>
        </w:numPr>
        <w:ind w:left="0" w:hanging="240"/>
        <w:jc w:val="left"/>
        <w:rPr>
          <w:rFonts w:ascii="游ゴシック" w:eastAsia="游ゴシック" w:hAnsi="游ゴシック"/>
          <w:color w:val="333333"/>
          <w:szCs w:val="21"/>
        </w:rPr>
      </w:pPr>
      <w:r w:rsidRPr="00A7149F">
        <w:rPr>
          <w:rFonts w:ascii="游ゴシック" w:eastAsia="游ゴシック" w:hAnsi="游ゴシック" w:hint="eastAsia"/>
          <w:color w:val="333333"/>
          <w:szCs w:val="21"/>
        </w:rPr>
        <w:t>国際的医療貢献に関係したボランティア活動</w:t>
      </w:r>
    </w:p>
    <w:p w:rsidR="00D322EB" w:rsidRPr="00A7149F" w:rsidRDefault="00D322EB" w:rsidP="00D322EB">
      <w:pPr>
        <w:widowControl/>
        <w:numPr>
          <w:ilvl w:val="0"/>
          <w:numId w:val="1"/>
        </w:numPr>
        <w:ind w:left="0" w:hanging="240"/>
        <w:jc w:val="left"/>
        <w:rPr>
          <w:rFonts w:ascii="游ゴシック" w:eastAsia="游ゴシック" w:hAnsi="游ゴシック"/>
          <w:color w:val="333333"/>
          <w:szCs w:val="21"/>
        </w:rPr>
      </w:pPr>
      <w:r w:rsidRPr="00A7149F">
        <w:rPr>
          <w:rFonts w:ascii="游ゴシック" w:eastAsia="游ゴシック" w:hAnsi="游ゴシック" w:hint="eastAsia"/>
          <w:color w:val="333333"/>
          <w:szCs w:val="21"/>
        </w:rPr>
        <w:t>その他国際交流センターが認めた国際交流活動</w:t>
      </w:r>
    </w:p>
    <w:p w:rsidR="00D322EB" w:rsidRPr="00E36816" w:rsidRDefault="00D322EB" w:rsidP="00D322EB">
      <w:pPr>
        <w:widowControl/>
        <w:jc w:val="left"/>
        <w:rPr>
          <w:rFonts w:ascii="游ゴシック" w:eastAsia="游ゴシック" w:hAnsi="游ゴシック"/>
          <w:b/>
          <w:color w:val="333333"/>
        </w:rPr>
      </w:pPr>
      <w:r w:rsidRPr="00E36816">
        <w:rPr>
          <w:rFonts w:ascii="游ゴシック" w:eastAsia="游ゴシック" w:hAnsi="游ゴシック" w:hint="eastAsia"/>
          <w:b/>
          <w:color w:val="56A9CB"/>
          <w:sz w:val="27"/>
          <w:szCs w:val="27"/>
        </w:rPr>
        <w:t>申請者</w:t>
      </w:r>
    </w:p>
    <w:p w:rsidR="00D322EB" w:rsidRPr="00DC4880" w:rsidRDefault="00D322EB" w:rsidP="00D322EB">
      <w:pPr>
        <w:pStyle w:val="Web"/>
        <w:snapToGrid w:val="0"/>
        <w:spacing w:before="0" w:beforeAutospacing="0" w:after="0" w:afterAutospacing="0"/>
        <w:rPr>
          <w:rFonts w:ascii="游ゴシック" w:eastAsia="游ゴシック" w:hAnsi="游ゴシック"/>
          <w:strike/>
          <w:color w:val="333333"/>
          <w:sz w:val="21"/>
          <w:szCs w:val="21"/>
        </w:rPr>
      </w:pPr>
      <w:r w:rsidRPr="00A7149F">
        <w:rPr>
          <w:rFonts w:ascii="游ゴシック" w:eastAsia="游ゴシック" w:hAnsi="游ゴシック" w:hint="eastAsia"/>
          <w:color w:val="333333"/>
          <w:sz w:val="21"/>
          <w:szCs w:val="21"/>
        </w:rPr>
        <w:t>日本医科大学医学部学生であること。</w:t>
      </w:r>
    </w:p>
    <w:p w:rsidR="00D322EB" w:rsidRDefault="00D322EB" w:rsidP="00D322EB">
      <w:pPr>
        <w:pStyle w:val="Web"/>
        <w:snapToGrid w:val="0"/>
        <w:spacing w:before="0" w:beforeAutospacing="0" w:after="0" w:afterAutospacing="0"/>
        <w:rPr>
          <w:rFonts w:ascii="游ゴシック" w:eastAsia="游ゴシック" w:hAnsi="游ゴシック"/>
          <w:b/>
          <w:color w:val="56A9CB"/>
          <w:sz w:val="27"/>
          <w:szCs w:val="27"/>
        </w:rPr>
      </w:pPr>
      <w:r w:rsidRPr="00E36816">
        <w:rPr>
          <w:rFonts w:ascii="游ゴシック" w:eastAsia="游ゴシック" w:hAnsi="游ゴシック" w:hint="eastAsia"/>
          <w:b/>
          <w:color w:val="56A9CB"/>
          <w:sz w:val="27"/>
          <w:szCs w:val="27"/>
        </w:rPr>
        <w:t>助成額</w:t>
      </w:r>
    </w:p>
    <w:p w:rsidR="00D322EB" w:rsidRPr="00DC4880" w:rsidRDefault="00D322EB" w:rsidP="00D322EB">
      <w:pPr>
        <w:pStyle w:val="Web"/>
        <w:snapToGrid w:val="0"/>
        <w:spacing w:before="0" w:beforeAutospacing="0" w:after="0" w:afterAutospacing="0"/>
        <w:ind w:left="525" w:hangingChars="250" w:hanging="525"/>
        <w:rPr>
          <w:rFonts w:ascii="游ゴシック" w:eastAsia="游ゴシック" w:hAnsi="游ゴシック"/>
          <w:b/>
          <w:color w:val="333333"/>
          <w:sz w:val="21"/>
          <w:szCs w:val="21"/>
        </w:rPr>
      </w:pPr>
      <w:r>
        <w:rPr>
          <w:rFonts w:ascii="游ゴシック" w:eastAsia="游ゴシック" w:hAnsi="游ゴシック" w:hint="eastAsia"/>
          <w:color w:val="333333"/>
          <w:sz w:val="21"/>
          <w:szCs w:val="21"/>
        </w:rPr>
        <w:t>（</w:t>
      </w:r>
      <w:r w:rsidRPr="00D655F1">
        <w:rPr>
          <w:rFonts w:ascii="游ゴシック" w:eastAsia="游ゴシック" w:hAnsi="游ゴシック"/>
          <w:color w:val="333333"/>
          <w:sz w:val="21"/>
          <w:szCs w:val="21"/>
        </w:rPr>
        <w:t>1</w:t>
      </w:r>
      <w:r>
        <w:rPr>
          <w:rFonts w:ascii="游ゴシック" w:eastAsia="游ゴシック" w:hAnsi="游ゴシック" w:hint="eastAsia"/>
          <w:color w:val="333333"/>
          <w:sz w:val="21"/>
          <w:szCs w:val="21"/>
        </w:rPr>
        <w:t>）</w:t>
      </w:r>
      <w:r w:rsidRPr="00D655F1">
        <w:rPr>
          <w:rFonts w:ascii="游ゴシック" w:eastAsia="游ゴシック" w:hAnsi="游ゴシック" w:hint="eastAsia"/>
          <w:color w:val="333333"/>
          <w:sz w:val="21"/>
          <w:szCs w:val="21"/>
        </w:rPr>
        <w:t>海外選択</w:t>
      </w:r>
      <w:r w:rsidRPr="00D655F1">
        <w:rPr>
          <w:rFonts w:ascii="游ゴシック" w:eastAsia="游ゴシック" w:hAnsi="游ゴシック"/>
          <w:color w:val="333333"/>
          <w:sz w:val="21"/>
          <w:szCs w:val="21"/>
        </w:rPr>
        <w:t>CC、サマースチューデント、</w:t>
      </w:r>
      <w:r w:rsidRPr="00D655F1">
        <w:rPr>
          <w:rFonts w:ascii="游ゴシック" w:eastAsia="游ゴシック" w:hAnsi="游ゴシック" w:hint="eastAsia"/>
          <w:color w:val="333333"/>
          <w:sz w:val="21"/>
          <w:szCs w:val="21"/>
        </w:rPr>
        <w:t>学会発表の</w:t>
      </w:r>
      <w:r w:rsidRPr="00DC4880">
        <w:rPr>
          <w:rFonts w:ascii="游ゴシック" w:eastAsia="游ゴシック" w:hAnsi="游ゴシック"/>
          <w:color w:val="333333"/>
          <w:sz w:val="21"/>
          <w:szCs w:val="21"/>
        </w:rPr>
        <w:t>First author</w:t>
      </w:r>
      <w:r w:rsidRPr="00D655F1">
        <w:rPr>
          <w:rFonts w:ascii="游ゴシック" w:eastAsia="游ゴシック" w:hAnsi="游ゴシック" w:hint="eastAsia"/>
          <w:color w:val="333333"/>
          <w:sz w:val="21"/>
          <w:szCs w:val="21"/>
        </w:rPr>
        <w:t>、国際</w:t>
      </w:r>
      <w:r w:rsidRPr="00DC4880">
        <w:rPr>
          <w:rFonts w:ascii="游ゴシック" w:eastAsia="游ゴシック" w:hAnsi="游ゴシック" w:hint="eastAsia"/>
          <w:color w:val="333333"/>
          <w:sz w:val="21"/>
          <w:szCs w:val="21"/>
        </w:rPr>
        <w:t>的医療貢献に関係したボランティア活動、その他国際交流センターが認めた国際交流活動</w:t>
      </w:r>
    </w:p>
    <w:p w:rsidR="00D322EB" w:rsidRDefault="00D322EB" w:rsidP="00D322EB">
      <w:pPr>
        <w:pStyle w:val="Web"/>
        <w:snapToGrid w:val="0"/>
        <w:spacing w:before="0" w:beforeAutospacing="0" w:after="0" w:afterAutospacing="0"/>
        <w:ind w:firstLineChars="250" w:firstLine="525"/>
        <w:rPr>
          <w:rFonts w:ascii="游ゴシック" w:eastAsia="游ゴシック" w:hAnsi="游ゴシック"/>
          <w:color w:val="333333"/>
          <w:sz w:val="21"/>
          <w:szCs w:val="21"/>
        </w:rPr>
      </w:pPr>
      <w:r w:rsidRPr="00D655F1">
        <w:rPr>
          <w:rFonts w:ascii="游ゴシック" w:eastAsia="游ゴシック" w:hAnsi="游ゴシック"/>
          <w:color w:val="333333"/>
          <w:sz w:val="21"/>
          <w:szCs w:val="21"/>
        </w:rPr>
        <w:t>1人につき10万円</w:t>
      </w:r>
    </w:p>
    <w:p w:rsidR="00D322EB" w:rsidRDefault="00D322EB" w:rsidP="00D322EB">
      <w:pPr>
        <w:pStyle w:val="Web"/>
        <w:snapToGrid w:val="0"/>
        <w:spacing w:before="0" w:beforeAutospacing="0" w:after="0" w:afterAutospacing="0"/>
        <w:rPr>
          <w:rFonts w:ascii="游ゴシック" w:eastAsia="游ゴシック" w:hAnsi="游ゴシック"/>
          <w:color w:val="333333"/>
          <w:sz w:val="21"/>
          <w:szCs w:val="21"/>
        </w:rPr>
      </w:pPr>
      <w:r>
        <w:rPr>
          <w:rFonts w:ascii="游ゴシック" w:eastAsia="游ゴシック" w:hAnsi="游ゴシック" w:hint="eastAsia"/>
          <w:color w:val="333333"/>
          <w:sz w:val="21"/>
          <w:szCs w:val="21"/>
        </w:rPr>
        <w:t>（2）クラブ活動（IFMSA（国際医学連盟）、東南アジア医学研究会など）</w:t>
      </w:r>
    </w:p>
    <w:p w:rsidR="00D322EB" w:rsidRDefault="00D322EB" w:rsidP="00D322EB">
      <w:pPr>
        <w:pStyle w:val="Web"/>
        <w:snapToGrid w:val="0"/>
        <w:ind w:firstLineChars="100" w:firstLine="210"/>
        <w:rPr>
          <w:rFonts w:ascii="游ゴシック" w:eastAsia="游ゴシック" w:hAnsi="游ゴシック"/>
          <w:color w:val="333333"/>
          <w:sz w:val="21"/>
          <w:szCs w:val="21"/>
        </w:rPr>
      </w:pPr>
      <w:r>
        <w:rPr>
          <w:rFonts w:ascii="游ゴシック" w:eastAsia="游ゴシック" w:hAnsi="游ゴシック" w:hint="eastAsia"/>
          <w:color w:val="333333"/>
          <w:sz w:val="21"/>
          <w:szCs w:val="21"/>
        </w:rPr>
        <w:t xml:space="preserve">　イ　滞在期間２週間以上　</w:t>
      </w:r>
      <w:r w:rsidRPr="00F23B1F">
        <w:rPr>
          <w:rFonts w:ascii="游ゴシック" w:eastAsia="游ゴシック" w:hAnsi="游ゴシック" w:hint="eastAsia"/>
          <w:color w:val="333333"/>
          <w:sz w:val="21"/>
          <w:szCs w:val="21"/>
        </w:rPr>
        <w:t>1人につき</w:t>
      </w:r>
      <w:r>
        <w:rPr>
          <w:rFonts w:ascii="游ゴシック" w:eastAsia="游ゴシック" w:hAnsi="游ゴシック" w:hint="eastAsia"/>
          <w:color w:val="333333"/>
          <w:sz w:val="21"/>
          <w:szCs w:val="21"/>
        </w:rPr>
        <w:t>５</w:t>
      </w:r>
      <w:r w:rsidRPr="00F23B1F">
        <w:rPr>
          <w:rFonts w:ascii="游ゴシック" w:eastAsia="游ゴシック" w:hAnsi="游ゴシック" w:hint="eastAsia"/>
          <w:color w:val="333333"/>
          <w:sz w:val="21"/>
          <w:szCs w:val="21"/>
        </w:rPr>
        <w:t>万円</w:t>
      </w:r>
    </w:p>
    <w:p w:rsidR="00D322EB" w:rsidRDefault="00D322EB" w:rsidP="00D322EB">
      <w:pPr>
        <w:pStyle w:val="Web"/>
        <w:snapToGrid w:val="0"/>
        <w:ind w:firstLineChars="200" w:firstLine="420"/>
        <w:rPr>
          <w:rFonts w:ascii="游ゴシック" w:eastAsia="游ゴシック" w:hAnsi="游ゴシック"/>
          <w:color w:val="333333"/>
          <w:sz w:val="21"/>
          <w:szCs w:val="21"/>
        </w:rPr>
      </w:pPr>
      <w:r>
        <w:rPr>
          <w:rFonts w:ascii="游ゴシック" w:eastAsia="游ゴシック" w:hAnsi="游ゴシック" w:hint="eastAsia"/>
          <w:color w:val="333333"/>
          <w:sz w:val="21"/>
          <w:szCs w:val="21"/>
        </w:rPr>
        <w:t xml:space="preserve">ロ　滞在期間２週間未満　</w:t>
      </w:r>
      <w:r w:rsidRPr="00F23B1F">
        <w:rPr>
          <w:rFonts w:ascii="游ゴシック" w:eastAsia="游ゴシック" w:hAnsi="游ゴシック" w:hint="eastAsia"/>
          <w:color w:val="333333"/>
          <w:sz w:val="21"/>
          <w:szCs w:val="21"/>
        </w:rPr>
        <w:t>1人につき</w:t>
      </w:r>
      <w:r>
        <w:rPr>
          <w:rFonts w:ascii="游ゴシック" w:eastAsia="游ゴシック" w:hAnsi="游ゴシック" w:hint="eastAsia"/>
          <w:color w:val="333333"/>
          <w:sz w:val="21"/>
          <w:szCs w:val="21"/>
        </w:rPr>
        <w:t>3</w:t>
      </w:r>
      <w:r w:rsidRPr="00F23B1F">
        <w:rPr>
          <w:rFonts w:ascii="游ゴシック" w:eastAsia="游ゴシック" w:hAnsi="游ゴシック" w:hint="eastAsia"/>
          <w:color w:val="333333"/>
          <w:sz w:val="21"/>
          <w:szCs w:val="21"/>
        </w:rPr>
        <w:t>万円</w:t>
      </w:r>
    </w:p>
    <w:p w:rsidR="00D322EB" w:rsidRPr="00D322EB" w:rsidRDefault="00D322EB" w:rsidP="00D322EB">
      <w:pPr>
        <w:pStyle w:val="Web"/>
        <w:snapToGrid w:val="0"/>
        <w:spacing w:before="0" w:beforeAutospacing="0" w:after="0" w:afterAutospacing="0"/>
        <w:rPr>
          <w:rFonts w:ascii="游ゴシック" w:eastAsia="游ゴシック" w:hAnsi="游ゴシック" w:hint="eastAsia"/>
          <w:b/>
          <w:color w:val="333333"/>
        </w:rPr>
      </w:pPr>
      <w:r w:rsidRPr="00E36816">
        <w:rPr>
          <w:rFonts w:ascii="游ゴシック" w:eastAsia="游ゴシック" w:hAnsi="游ゴシック" w:hint="eastAsia"/>
          <w:b/>
          <w:color w:val="56A9CB"/>
          <w:sz w:val="27"/>
          <w:szCs w:val="27"/>
        </w:rPr>
        <w:t>申請方法</w:t>
      </w:r>
    </w:p>
    <w:p w:rsidR="00D322EB" w:rsidRDefault="00D322EB" w:rsidP="00D322EB">
      <w:r>
        <w:rPr>
          <w:rFonts w:hint="eastAsia"/>
        </w:rPr>
        <w:t>助成金の支給を希望する学生は、次の書類を国際交流センター（</w:t>
      </w:r>
      <w:r w:rsidRPr="00DC4880">
        <w:rPr>
          <w:rFonts w:ascii="游ゴシック" w:eastAsia="游ゴシック" w:hAnsi="游ゴシック"/>
          <w:color w:val="333333"/>
        </w:rPr>
        <w:t>E-mail:kokusai@nms.ac.jp</w:t>
      </w:r>
      <w:r>
        <w:rPr>
          <w:rFonts w:hint="eastAsia"/>
        </w:rPr>
        <w:t>）に提出してください。</w:t>
      </w:r>
    </w:p>
    <w:p w:rsidR="00D322EB" w:rsidRDefault="00D322EB" w:rsidP="00D322EB">
      <w:r>
        <w:rPr>
          <w:rFonts w:hint="eastAsia"/>
        </w:rPr>
        <w:t>（1）活動の開始前に提出する書類</w:t>
      </w:r>
    </w:p>
    <w:p w:rsidR="00D322EB" w:rsidRDefault="00D322EB" w:rsidP="00D322EB">
      <w:r>
        <w:rPr>
          <w:rFonts w:hint="eastAsia"/>
        </w:rPr>
        <w:t xml:space="preserve">　イ　日本医科大学医学部学生国際交流助成金申請書</w:t>
      </w:r>
    </w:p>
    <w:p w:rsidR="00D322EB" w:rsidRPr="00DC4880" w:rsidRDefault="00D322EB" w:rsidP="00D322EB">
      <w:pPr>
        <w:rPr>
          <w:u w:val="single"/>
        </w:rPr>
      </w:pPr>
      <w:r>
        <w:rPr>
          <w:rFonts w:hint="eastAsia"/>
        </w:rPr>
        <w:t xml:space="preserve">　　　</w:t>
      </w:r>
      <w:r w:rsidRPr="00DC4880">
        <w:rPr>
          <w:rFonts w:hint="eastAsia"/>
          <w:u w:val="single"/>
        </w:rPr>
        <w:t>ダウンロード</w:t>
      </w:r>
      <w:r>
        <w:rPr>
          <w:rFonts w:hint="eastAsia"/>
          <w:u w:val="single"/>
        </w:rPr>
        <w:t>⇒</w:t>
      </w:r>
    </w:p>
    <w:p w:rsidR="00D322EB" w:rsidRDefault="00D322EB" w:rsidP="00D322EB">
      <w:pPr>
        <w:ind w:left="420" w:hangingChars="200" w:hanging="420"/>
      </w:pPr>
      <w:r>
        <w:rPr>
          <w:rFonts w:hint="eastAsia"/>
        </w:rPr>
        <w:t xml:space="preserve">　ロ　国際交流であることを証明できる書類（例：留学先からの受入れ証明書、ボランティア活動への参加許可書</w:t>
      </w:r>
    </w:p>
    <w:p w:rsidR="00D322EB" w:rsidRDefault="00D322EB" w:rsidP="00D322EB">
      <w:pPr>
        <w:ind w:left="420" w:hangingChars="200" w:hanging="420"/>
      </w:pPr>
      <w:r>
        <w:rPr>
          <w:rFonts w:hint="eastAsia"/>
        </w:rPr>
        <w:t>（2）活動の終了後1か月以内に提出する書類</w:t>
      </w:r>
    </w:p>
    <w:p w:rsidR="00D322EB" w:rsidRPr="00DC4880" w:rsidRDefault="00D322EB" w:rsidP="00D322E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報告書（留学、国際交流活動後の報告書</w:t>
      </w:r>
    </w:p>
    <w:p w:rsidR="00D322EB" w:rsidRPr="00E36816" w:rsidRDefault="00D322EB" w:rsidP="00D322EB">
      <w:pPr>
        <w:widowControl/>
        <w:jc w:val="left"/>
        <w:rPr>
          <w:rFonts w:ascii="游ゴシック" w:eastAsia="游ゴシック" w:hAnsi="游ゴシック"/>
          <w:b/>
          <w:color w:val="333333"/>
        </w:rPr>
      </w:pPr>
      <w:r w:rsidRPr="00E36816">
        <w:rPr>
          <w:rFonts w:ascii="游ゴシック" w:eastAsia="游ゴシック" w:hAnsi="游ゴシック" w:hint="eastAsia"/>
          <w:b/>
          <w:color w:val="56A9CB"/>
          <w:sz w:val="27"/>
          <w:szCs w:val="27"/>
        </w:rPr>
        <w:t>申請締め切り</w:t>
      </w:r>
    </w:p>
    <w:p w:rsidR="00D322EB" w:rsidRPr="00A7149F" w:rsidRDefault="00D322EB" w:rsidP="00D322EB">
      <w:pPr>
        <w:pStyle w:val="Web"/>
        <w:snapToGrid w:val="0"/>
        <w:spacing w:before="0" w:beforeAutospacing="0" w:after="0" w:afterAutospacing="0"/>
        <w:rPr>
          <w:rFonts w:ascii="游ゴシック" w:eastAsia="游ゴシック" w:hAnsi="游ゴシック"/>
          <w:color w:val="333333"/>
          <w:sz w:val="21"/>
          <w:szCs w:val="21"/>
        </w:rPr>
      </w:pPr>
      <w:r w:rsidRPr="00A7149F">
        <w:rPr>
          <w:rFonts w:ascii="游ゴシック" w:eastAsia="游ゴシック" w:hAnsi="游ゴシック" w:hint="eastAsia"/>
          <w:color w:val="333333"/>
          <w:sz w:val="21"/>
          <w:szCs w:val="21"/>
        </w:rPr>
        <w:t>国際交流センターを申し込みの窓口とする。申請は原則として実施前とし、随時受け付ける。</w:t>
      </w:r>
    </w:p>
    <w:p w:rsidR="00D322EB" w:rsidRPr="00E36816" w:rsidRDefault="00D322EB" w:rsidP="00D322EB">
      <w:pPr>
        <w:pStyle w:val="Web"/>
        <w:snapToGrid w:val="0"/>
        <w:spacing w:before="0" w:beforeAutospacing="0" w:after="0" w:afterAutospacing="0"/>
        <w:rPr>
          <w:rFonts w:ascii="游ゴシック" w:eastAsia="游ゴシック" w:hAnsi="游ゴシック"/>
          <w:b/>
          <w:color w:val="333333"/>
        </w:rPr>
      </w:pPr>
      <w:r w:rsidRPr="00E36816">
        <w:rPr>
          <w:rFonts w:ascii="游ゴシック" w:eastAsia="游ゴシック" w:hAnsi="游ゴシック" w:hint="eastAsia"/>
          <w:b/>
          <w:color w:val="56A9CB"/>
          <w:sz w:val="27"/>
          <w:szCs w:val="27"/>
        </w:rPr>
        <w:t>審査</w:t>
      </w:r>
    </w:p>
    <w:p w:rsidR="00D322EB" w:rsidRDefault="00D322EB" w:rsidP="00D322EB">
      <w:r w:rsidRPr="00A7149F">
        <w:rPr>
          <w:rFonts w:ascii="游ゴシック" w:eastAsia="游ゴシック" w:hAnsi="游ゴシック" w:hint="eastAsia"/>
          <w:color w:val="333333"/>
          <w:szCs w:val="21"/>
        </w:rPr>
        <w:t>助成金支給の可否は</w:t>
      </w:r>
      <w:r>
        <w:rPr>
          <w:rFonts w:ascii="游ゴシック" w:eastAsia="游ゴシック" w:hAnsi="游ゴシック" w:hint="eastAsia"/>
          <w:color w:val="333333"/>
          <w:szCs w:val="21"/>
        </w:rPr>
        <w:t>奨学金・助成金</w:t>
      </w:r>
      <w:r w:rsidRPr="00A7149F">
        <w:rPr>
          <w:rFonts w:ascii="游ゴシック" w:eastAsia="游ゴシック" w:hAnsi="游ゴシック" w:hint="eastAsia"/>
          <w:color w:val="333333"/>
          <w:szCs w:val="21"/>
        </w:rPr>
        <w:t>小委員会によって決定される。</w:t>
      </w:r>
    </w:p>
    <w:sectPr w:rsidR="00D322EB" w:rsidSect="00D322E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734"/>
    <w:multiLevelType w:val="multilevel"/>
    <w:tmpl w:val="2D48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B"/>
    <w:rsid w:val="00D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E6564"/>
  <w15:chartTrackingRefBased/>
  <w15:docId w15:val="{5372E696-1631-4ADA-BF77-F27A92C2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2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1</cp:revision>
  <dcterms:created xsi:type="dcterms:W3CDTF">2022-08-08T02:37:00Z</dcterms:created>
  <dcterms:modified xsi:type="dcterms:W3CDTF">2022-08-08T02:40:00Z</dcterms:modified>
</cp:coreProperties>
</file>